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FD69" w14:textId="77777777" w:rsidR="00C01CC1" w:rsidRPr="005A54E7" w:rsidRDefault="00C01CC1" w:rsidP="00C01CC1">
      <w:pPr>
        <w:spacing w:after="0" w:line="360" w:lineRule="auto"/>
        <w:ind w:firstLine="708"/>
        <w:jc w:val="center"/>
        <w:rPr>
          <w:rFonts w:ascii="Bookman Old Style" w:hAnsi="Bookman Old Style"/>
          <w:b/>
          <w:bCs/>
          <w:color w:val="000000" w:themeColor="text1"/>
        </w:rPr>
      </w:pPr>
      <w:r w:rsidRPr="005A54E7">
        <w:rPr>
          <w:rFonts w:ascii="Bookman Old Style" w:hAnsi="Bookman Old Style"/>
          <w:b/>
          <w:bCs/>
          <w:color w:val="000000" w:themeColor="text1"/>
        </w:rPr>
        <w:t>Prawidłowy chwyt kredek</w:t>
      </w:r>
    </w:p>
    <w:p w14:paraId="409F6D87" w14:textId="77777777" w:rsidR="00C01CC1" w:rsidRPr="005A54E7" w:rsidRDefault="00C01CC1" w:rsidP="00C01CC1">
      <w:pPr>
        <w:spacing w:after="0" w:line="360" w:lineRule="auto"/>
        <w:ind w:firstLine="708"/>
        <w:rPr>
          <w:rFonts w:ascii="Bookman Old Style" w:hAnsi="Bookman Old Style"/>
          <w:color w:val="000000" w:themeColor="text1"/>
        </w:rPr>
      </w:pPr>
    </w:p>
    <w:p w14:paraId="3F39995A" w14:textId="77777777" w:rsidR="00C01CC1" w:rsidRPr="008821D9" w:rsidRDefault="00C01CC1" w:rsidP="00C01CC1">
      <w:pPr>
        <w:spacing w:after="0" w:line="360" w:lineRule="auto"/>
        <w:ind w:firstLine="708"/>
        <w:rPr>
          <w:rFonts w:ascii="Bookman Old Style" w:eastAsia="Times New Roman" w:hAnsi="Bookman Old Style" w:cs="Times New Roman"/>
          <w:color w:val="000000" w:themeColor="text1"/>
          <w:lang w:eastAsia="pl-PL"/>
        </w:rPr>
      </w:pPr>
      <w:r w:rsidRPr="005A54E7">
        <w:rPr>
          <w:rFonts w:ascii="Bookman Old Style" w:hAnsi="Bookman Old Style"/>
          <w:color w:val="000000" w:themeColor="text1"/>
        </w:rPr>
        <w:t>Od narodzenia po cały okres przedszkolny to czas dynamicznego rozwoju nie tylko motoryki dużej, ale również motoryki małej, czyli rozwoju dłoni i palców (</w:t>
      </w:r>
      <w:r w:rsidRPr="005A54E7">
        <w:rPr>
          <w:rFonts w:ascii="Bookman Old Style" w:hAnsi="Bookman Old Style" w:cs="Helvetica"/>
          <w:color w:val="000000" w:themeColor="text1"/>
        </w:rPr>
        <w:t xml:space="preserve">chwytu pisarskiego u dzieci). </w:t>
      </w:r>
      <w:r w:rsidRPr="008821D9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 xml:space="preserve">Prawidłowe trzymanie narzędzia pisarskiego daje podstawę do szybkiego, czytelnego i ergonomicznego pisania. Tylko prawidłowy chwyt gwarantuje </w:t>
      </w:r>
      <w:r w:rsidRPr="005A54E7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>najlepsze</w:t>
      </w:r>
      <w:r w:rsidRPr="008821D9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 xml:space="preserve"> użycie i wykorzystanie siły potrzebnej do spokojnego, ładnego i skoordynowanego pisma</w:t>
      </w:r>
      <w:r w:rsidRPr="005A54E7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>, rysowania</w:t>
      </w:r>
      <w:r w:rsidRPr="008821D9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>.</w:t>
      </w:r>
    </w:p>
    <w:p w14:paraId="1FBCEC36" w14:textId="77777777" w:rsidR="00C01CC1" w:rsidRPr="005A54E7" w:rsidRDefault="00C01CC1" w:rsidP="00C01CC1">
      <w:pPr>
        <w:shd w:val="clear" w:color="auto" w:fill="FFFFFF"/>
        <w:spacing w:after="0" w:line="360" w:lineRule="auto"/>
        <w:rPr>
          <w:rFonts w:ascii="Bookman Old Style" w:hAnsi="Bookman Old Style"/>
          <w:color w:val="000000" w:themeColor="text1"/>
        </w:rPr>
      </w:pPr>
    </w:p>
    <w:p w14:paraId="2DBE9747" w14:textId="77777777" w:rsidR="00C01CC1" w:rsidRPr="005A54E7" w:rsidRDefault="00C01CC1" w:rsidP="00C01CC1">
      <w:pPr>
        <w:pStyle w:val="Nagwek5"/>
        <w:spacing w:before="0" w:line="360" w:lineRule="auto"/>
        <w:textAlignment w:val="baseline"/>
        <w:rPr>
          <w:rFonts w:ascii="Bookman Old Style" w:hAnsi="Bookman Old Style" w:cs="Helvetica"/>
          <w:color w:val="000000" w:themeColor="text1"/>
          <w:u w:val="single"/>
        </w:rPr>
      </w:pPr>
      <w:r w:rsidRPr="005A54E7">
        <w:rPr>
          <w:rStyle w:val="Pogrubienie"/>
          <w:rFonts w:ascii="Bookman Old Style" w:hAnsi="Bookman Old Style" w:cs="Helvetica"/>
          <w:b w:val="0"/>
          <w:bCs w:val="0"/>
          <w:color w:val="000000" w:themeColor="text1"/>
          <w:u w:val="single"/>
          <w:bdr w:val="none" w:sz="0" w:space="0" w:color="auto" w:frame="1"/>
        </w:rPr>
        <w:t>Chwyt cylindryczny</w:t>
      </w:r>
    </w:p>
    <w:p w14:paraId="03BE5976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ind w:firstLine="708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t>Występuje u dzieci w wieku 1 – 1,5 roku życia. Aktywny jest tutaj staw barkowy i brak jest mobilności nadgarstka w trakcie ruchu. Przedramię jest w powietrzu (nie jest podparte na stole).</w:t>
      </w:r>
    </w:p>
    <w:p w14:paraId="387AAF1A" w14:textId="77777777" w:rsidR="00C01CC1" w:rsidRPr="005A54E7" w:rsidRDefault="00C01CC1" w:rsidP="00C01CC1">
      <w:pPr>
        <w:pStyle w:val="NormalnyWeb"/>
        <w:spacing w:before="0" w:beforeAutospacing="0" w:after="450" w:afterAutospacing="0"/>
        <w:jc w:val="center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noProof/>
          <w:color w:val="000000" w:themeColor="text1"/>
          <w:sz w:val="22"/>
          <w:szCs w:val="22"/>
        </w:rPr>
        <w:drawing>
          <wp:inline distT="0" distB="0" distL="0" distR="0" wp14:anchorId="550DBC38" wp14:editId="0AFA80F8">
            <wp:extent cx="2428924" cy="1607770"/>
            <wp:effectExtent l="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16" cy="162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4ADE" w14:textId="77777777" w:rsidR="00C01CC1" w:rsidRPr="005A54E7" w:rsidRDefault="00C01CC1" w:rsidP="00C01CC1">
      <w:pPr>
        <w:pStyle w:val="Nagwek5"/>
        <w:spacing w:before="0" w:line="360" w:lineRule="auto"/>
        <w:textAlignment w:val="baseline"/>
        <w:rPr>
          <w:rFonts w:ascii="Bookman Old Style" w:hAnsi="Bookman Old Style" w:cs="Helvetica"/>
          <w:color w:val="000000" w:themeColor="text1"/>
          <w:u w:val="single"/>
        </w:rPr>
      </w:pPr>
      <w:r w:rsidRPr="005A54E7">
        <w:rPr>
          <w:rStyle w:val="Pogrubienie"/>
          <w:rFonts w:ascii="Bookman Old Style" w:hAnsi="Bookman Old Style" w:cs="Helvetica"/>
          <w:b w:val="0"/>
          <w:bCs w:val="0"/>
          <w:color w:val="000000" w:themeColor="text1"/>
          <w:u w:val="single"/>
          <w:bdr w:val="none" w:sz="0" w:space="0" w:color="auto" w:frame="1"/>
        </w:rPr>
        <w:t>Chwyt wskazicielem </w:t>
      </w:r>
    </w:p>
    <w:p w14:paraId="67F0F8FE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ind w:firstLine="708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t>Występuje między 2 a 3 rokiem życia (często u dzieci, które używają już widelca i noża). Dziecko chwyta tutaj wszystkimi palcami, z charakterystycznym wyprostem palca. Pozostałe palce są w zgięciu. Przedramię nie jest oparte na stole, nadal brak jest mobilności nadgarstka w trakcie ruchu.</w:t>
      </w:r>
    </w:p>
    <w:p w14:paraId="228D1A04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noProof/>
          <w:color w:val="000000" w:themeColor="text1"/>
          <w:sz w:val="22"/>
          <w:szCs w:val="22"/>
        </w:rPr>
        <w:drawing>
          <wp:inline distT="0" distB="0" distL="0" distR="0" wp14:anchorId="47326EA7" wp14:editId="74CBDE39">
            <wp:extent cx="2502110" cy="1656214"/>
            <wp:effectExtent l="0" t="0" r="0" b="127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89" cy="167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BDAF4" w14:textId="77777777" w:rsidR="00C01CC1" w:rsidRPr="005A54E7" w:rsidRDefault="00C01CC1" w:rsidP="00C01CC1">
      <w:pPr>
        <w:pStyle w:val="Nagwek5"/>
        <w:spacing w:before="0" w:line="360" w:lineRule="auto"/>
        <w:textAlignment w:val="baseline"/>
        <w:rPr>
          <w:rFonts w:ascii="Bookman Old Style" w:hAnsi="Bookman Old Style" w:cs="Helvetica"/>
          <w:color w:val="000000" w:themeColor="text1"/>
          <w:u w:val="single"/>
        </w:rPr>
      </w:pPr>
      <w:r w:rsidRPr="005A54E7">
        <w:rPr>
          <w:rStyle w:val="Pogrubienie"/>
          <w:rFonts w:ascii="Bookman Old Style" w:hAnsi="Bookman Old Style" w:cs="Helvetica"/>
          <w:b w:val="0"/>
          <w:bCs w:val="0"/>
          <w:color w:val="000000" w:themeColor="text1"/>
          <w:u w:val="single"/>
          <w:bdr w:val="none" w:sz="0" w:space="0" w:color="auto" w:frame="1"/>
        </w:rPr>
        <w:t>Chwyt z wyprostowanymi palcami</w:t>
      </w:r>
    </w:p>
    <w:p w14:paraId="1F7B91C4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ind w:firstLine="708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t xml:space="preserve">Występuje między 3 a 4 rokiem życia. Narzędzie pisarskie trzymane jest pomiędzy kciukiem a palcami od strony promieniowej. Zakres ruchów w stawach </w:t>
      </w: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lastRenderedPageBreak/>
        <w:t>międzypaliczkowych od niewielkiego zgięcia do wyprostu. Przedramię zaczyna spoczywać na stole. Następuje stabilizacja stawu barkowego. Pojawia się aktywność przedramienia.</w:t>
      </w:r>
    </w:p>
    <w:p w14:paraId="6293DED9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noProof/>
          <w:color w:val="000000" w:themeColor="text1"/>
          <w:sz w:val="22"/>
          <w:szCs w:val="22"/>
        </w:rPr>
        <w:drawing>
          <wp:inline distT="0" distB="0" distL="0" distR="0" wp14:anchorId="4C191D94" wp14:editId="7A908DC1">
            <wp:extent cx="2125980" cy="1407243"/>
            <wp:effectExtent l="0" t="0" r="7620" b="254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36" cy="141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1215" w14:textId="77777777" w:rsidR="00C01CC1" w:rsidRDefault="00C01CC1" w:rsidP="00C01CC1">
      <w:pPr>
        <w:pStyle w:val="Nagwek5"/>
        <w:spacing w:before="0" w:line="360" w:lineRule="auto"/>
        <w:jc w:val="center"/>
        <w:textAlignment w:val="baseline"/>
        <w:rPr>
          <w:rStyle w:val="Pogrubienie"/>
          <w:rFonts w:ascii="Bookman Old Style" w:hAnsi="Bookman Old Style" w:cs="Helvetica"/>
          <w:b w:val="0"/>
          <w:bCs w:val="0"/>
          <w:color w:val="000000" w:themeColor="text1"/>
          <w:bdr w:val="none" w:sz="0" w:space="0" w:color="auto" w:frame="1"/>
        </w:rPr>
      </w:pPr>
    </w:p>
    <w:p w14:paraId="6B979501" w14:textId="77777777" w:rsidR="00C01CC1" w:rsidRPr="005A54E7" w:rsidRDefault="00C01CC1" w:rsidP="00C01CC1">
      <w:pPr>
        <w:pStyle w:val="Nagwek5"/>
        <w:spacing w:before="0" w:line="360" w:lineRule="auto"/>
        <w:textAlignment w:val="baseline"/>
        <w:rPr>
          <w:rFonts w:ascii="Bookman Old Style" w:hAnsi="Bookman Old Style" w:cs="Helvetica"/>
          <w:color w:val="000000" w:themeColor="text1"/>
          <w:u w:val="single"/>
        </w:rPr>
      </w:pPr>
      <w:r w:rsidRPr="005A54E7">
        <w:rPr>
          <w:rStyle w:val="Pogrubienie"/>
          <w:rFonts w:ascii="Bookman Old Style" w:hAnsi="Bookman Old Style" w:cs="Helvetica"/>
          <w:b w:val="0"/>
          <w:bCs w:val="0"/>
          <w:color w:val="000000" w:themeColor="text1"/>
          <w:u w:val="single"/>
          <w:bdr w:val="none" w:sz="0" w:space="0" w:color="auto" w:frame="1"/>
        </w:rPr>
        <w:t>Statyczny chwyt czteropalcowy </w:t>
      </w:r>
    </w:p>
    <w:p w14:paraId="313C3E5A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ind w:firstLine="708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t>Występuje u dzieci około 3-4 roku życia, szczególnie u dzieci o luźnej budowie stawów i nieco obniżonym napięciu posturalnym. Narzędzie pisarskie jest między palcem wskazującym, środkowym i kciukiem. Kredka leży w częściowo lub całkowicie otwartej przestrzeni między kciukiem a palcem wskazującym. Palec mały jest w zgięciu, stabilizuje chwyt. Przedramię spoczywa na stole, niewielka jest mobilność nadgarstka dająca aktywność ręki.</w:t>
      </w:r>
    </w:p>
    <w:p w14:paraId="6F30C741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noProof/>
          <w:color w:val="000000" w:themeColor="text1"/>
          <w:sz w:val="22"/>
          <w:szCs w:val="22"/>
        </w:rPr>
        <w:drawing>
          <wp:inline distT="0" distB="0" distL="0" distR="0" wp14:anchorId="169B20E6" wp14:editId="5849CDBA">
            <wp:extent cx="2186487" cy="1447295"/>
            <wp:effectExtent l="0" t="0" r="4445" b="63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85" cy="14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EA2C" w14:textId="77777777" w:rsidR="00C01CC1" w:rsidRDefault="00C01CC1" w:rsidP="00C01CC1">
      <w:pPr>
        <w:pStyle w:val="Nagwek5"/>
        <w:spacing w:before="0" w:line="360" w:lineRule="auto"/>
        <w:textAlignment w:val="baseline"/>
        <w:rPr>
          <w:rStyle w:val="Pogrubienie"/>
          <w:rFonts w:ascii="Bookman Old Style" w:hAnsi="Bookman Old Style" w:cs="Helvetica"/>
          <w:b w:val="0"/>
          <w:bCs w:val="0"/>
          <w:color w:val="000000" w:themeColor="text1"/>
          <w:bdr w:val="none" w:sz="0" w:space="0" w:color="auto" w:frame="1"/>
        </w:rPr>
      </w:pPr>
    </w:p>
    <w:p w14:paraId="171C60A5" w14:textId="77777777" w:rsidR="00C01CC1" w:rsidRPr="005A54E7" w:rsidRDefault="00C01CC1" w:rsidP="00C01CC1">
      <w:pPr>
        <w:pStyle w:val="Nagwek5"/>
        <w:spacing w:before="0" w:line="360" w:lineRule="auto"/>
        <w:textAlignment w:val="baseline"/>
        <w:rPr>
          <w:rFonts w:ascii="Bookman Old Style" w:hAnsi="Bookman Old Style" w:cs="Helvetica"/>
          <w:color w:val="000000" w:themeColor="text1"/>
          <w:u w:val="single"/>
        </w:rPr>
      </w:pPr>
      <w:r w:rsidRPr="005A54E7">
        <w:rPr>
          <w:rStyle w:val="Pogrubienie"/>
          <w:rFonts w:ascii="Bookman Old Style" w:hAnsi="Bookman Old Style" w:cs="Helvetica"/>
          <w:b w:val="0"/>
          <w:bCs w:val="0"/>
          <w:color w:val="000000" w:themeColor="text1"/>
          <w:u w:val="single"/>
          <w:bdr w:val="none" w:sz="0" w:space="0" w:color="auto" w:frame="1"/>
        </w:rPr>
        <w:t>Statyczny chwyt trójpalcowy </w:t>
      </w:r>
    </w:p>
    <w:p w14:paraId="36B4586F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ind w:firstLine="708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t>Występuje u dzieci od 4 roku życia i doskonali się do 14 roku życia. Jest to chwyt uznawany przez nauczycieli, specjalistów za najlepszy i najbardziej ergonomiczny. Narzędzie pisarskie dziecko trzyma między palcem wskazującym a kciukiem, a palec środkowy podtrzymuje narzędzie pisarskie. Palec mały i serdeczny są zgięte i stabilizują chwyt. Nie występują drobne ruchy palców i dłoni. Przedramię spoczywa na stole natomiast nadgarstek jest mobilny, ustabilizowany w pozycji wyprostu.</w:t>
      </w:r>
    </w:p>
    <w:p w14:paraId="3FB16088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noProof/>
          <w:color w:val="000000" w:themeColor="text1"/>
          <w:sz w:val="22"/>
          <w:szCs w:val="22"/>
        </w:rPr>
        <w:lastRenderedPageBreak/>
        <w:drawing>
          <wp:inline distT="0" distB="0" distL="0" distR="0" wp14:anchorId="22663EED" wp14:editId="4788C238">
            <wp:extent cx="2452529" cy="1623395"/>
            <wp:effectExtent l="0" t="0" r="508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40" cy="163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22D1" w14:textId="77777777" w:rsidR="00C01CC1" w:rsidRDefault="00C01CC1" w:rsidP="00C01CC1">
      <w:pPr>
        <w:pStyle w:val="NormalnyWeb"/>
        <w:spacing w:before="0" w:beforeAutospacing="0" w:after="0" w:afterAutospacing="0" w:line="360" w:lineRule="auto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</w:p>
    <w:p w14:paraId="7C31647E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ind w:firstLine="708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t xml:space="preserve">Aby ułatwić dziecku poprawny uchwyt pisarski warto zdecydować się na zakup nakładek korygujących, zakładanych na ołówek, kredkę lub długopis. Nakładki te przeznaczone są dla dzieci prawo i lewo - ręcznych.  Nakładki te wyrabiają nawyk prawidłowego trzymania narzędzia pisarskiego. </w:t>
      </w:r>
    </w:p>
    <w:p w14:paraId="0DE93B4D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/>
          <w:noProof/>
          <w:color w:val="000000" w:themeColor="text1"/>
          <w:sz w:val="22"/>
          <w:szCs w:val="22"/>
        </w:rPr>
        <w:drawing>
          <wp:inline distT="0" distB="0" distL="0" distR="0" wp14:anchorId="648FBA0E" wp14:editId="78E19182">
            <wp:extent cx="2477326" cy="1650159"/>
            <wp:effectExtent l="0" t="0" r="0" b="7620"/>
            <wp:docPr id="38" name="Obraz 38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71" cy="16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4A076" w14:textId="77777777" w:rsidR="00C01CC1" w:rsidRDefault="00C01CC1" w:rsidP="00C01CC1">
      <w:pPr>
        <w:pStyle w:val="NormalnyWeb"/>
        <w:spacing w:before="0" w:beforeAutospacing="0" w:after="0" w:afterAutospacing="0" w:line="360" w:lineRule="auto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</w:p>
    <w:p w14:paraId="2BDC9E25" w14:textId="77777777" w:rsidR="00C01CC1" w:rsidRPr="005A54E7" w:rsidRDefault="00C01CC1" w:rsidP="00C01CC1">
      <w:pPr>
        <w:pStyle w:val="NormalnyWeb"/>
        <w:spacing w:before="0" w:beforeAutospacing="0" w:after="0" w:afterAutospacing="0" w:line="360" w:lineRule="auto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  <w:u w:val="single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  <w:u w:val="single"/>
        </w:rPr>
        <w:t>Poprawny chwyt pisarski</w:t>
      </w:r>
    </w:p>
    <w:p w14:paraId="49ABABA9" w14:textId="77777777" w:rsidR="00C01CC1" w:rsidRDefault="00C01CC1" w:rsidP="00C01CC1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098340C" wp14:editId="6A1161BC">
            <wp:extent cx="2226310" cy="2359859"/>
            <wp:effectExtent l="0" t="0" r="2540" b="254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80" cy="236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55167" w14:textId="77777777" w:rsidR="00C01CC1" w:rsidRPr="005A54E7" w:rsidRDefault="00C01CC1" w:rsidP="00C01CC1">
      <w:pPr>
        <w:pStyle w:val="NormalnyWeb"/>
        <w:spacing w:before="0" w:beforeAutospacing="0" w:after="0" w:afterAutospacing="0"/>
        <w:textAlignment w:val="baseline"/>
        <w:rPr>
          <w:rFonts w:ascii="Bookman Old Style" w:hAnsi="Bookman Old Style" w:cs="Helvetica"/>
          <w:color w:val="000000" w:themeColor="text1"/>
          <w:sz w:val="22"/>
          <w:szCs w:val="22"/>
        </w:rPr>
      </w:pPr>
      <w:r w:rsidRPr="005A54E7">
        <w:rPr>
          <w:rFonts w:ascii="Bookman Old Style" w:hAnsi="Bookman Old Style" w:cs="Helvetica"/>
          <w:color w:val="000000" w:themeColor="text1"/>
          <w:sz w:val="22"/>
          <w:szCs w:val="22"/>
        </w:rPr>
        <w:t>Bibliografia:</w:t>
      </w:r>
    </w:p>
    <w:p w14:paraId="4D70C28B" w14:textId="77777777" w:rsidR="00C01CC1" w:rsidRPr="002F73AB" w:rsidRDefault="00C01CC1" w:rsidP="00C01CC1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lang w:eastAsia="pl-PL"/>
        </w:rPr>
      </w:pPr>
      <w:r w:rsidRPr="002F73AB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 xml:space="preserve">E. </w:t>
      </w:r>
      <w:proofErr w:type="spellStart"/>
      <w:r w:rsidRPr="002F73AB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>Górniewicz</w:t>
      </w:r>
      <w:proofErr w:type="spellEnd"/>
      <w:r w:rsidRPr="002F73AB">
        <w:rPr>
          <w:rFonts w:ascii="Bookman Old Style" w:eastAsia="Times New Roman" w:hAnsi="Bookman Old Style" w:cs="Helvetica"/>
          <w:color w:val="000000" w:themeColor="text1"/>
          <w:bdr w:val="none" w:sz="0" w:space="0" w:color="auto" w:frame="1"/>
          <w:lang w:eastAsia="pl-PL"/>
        </w:rPr>
        <w:t xml:space="preserve"> „Diagnozowanie trudności w czytaniu i pisaniu”.</w:t>
      </w:r>
    </w:p>
    <w:p w14:paraId="79E43E70" w14:textId="77777777" w:rsidR="00C01CC1" w:rsidRPr="005A54E7" w:rsidRDefault="00C01CC1" w:rsidP="00C01CC1">
      <w:pPr>
        <w:pStyle w:val="NormalnyWeb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  <w:sz w:val="22"/>
          <w:szCs w:val="22"/>
        </w:rPr>
      </w:pPr>
      <w:r w:rsidRPr="005A54E7">
        <w:rPr>
          <w:rFonts w:ascii="Bookman Old Style" w:hAnsi="Bookman Old Style"/>
          <w:color w:val="000000" w:themeColor="text1"/>
          <w:sz w:val="22"/>
          <w:szCs w:val="22"/>
        </w:rPr>
        <w:t>Maria Dmochowska – „Zanim dziecko zacznie pisać”, Państwowe Zakłady Wydawnictw Szkolnych, Warszawa 1979.</w:t>
      </w:r>
    </w:p>
    <w:p w14:paraId="443C36C3" w14:textId="77777777" w:rsidR="00C01CC1" w:rsidRPr="005A54E7" w:rsidRDefault="00C01CC1" w:rsidP="00C01CC1">
      <w:pPr>
        <w:pStyle w:val="NormalnyWeb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  <w:sz w:val="22"/>
          <w:szCs w:val="22"/>
        </w:rPr>
      </w:pPr>
      <w:r w:rsidRPr="005A54E7">
        <w:rPr>
          <w:rFonts w:ascii="Bookman Old Style" w:hAnsi="Bookman Old Style"/>
          <w:color w:val="000000" w:themeColor="text1"/>
          <w:sz w:val="22"/>
          <w:szCs w:val="22"/>
        </w:rPr>
        <w:t xml:space="preserve">Waszkiewicz E. „Zestaw ćwiczeń do zajęć </w:t>
      </w:r>
      <w:proofErr w:type="spellStart"/>
      <w:r w:rsidRPr="005A54E7">
        <w:rPr>
          <w:rFonts w:ascii="Bookman Old Style" w:hAnsi="Bookman Old Style"/>
          <w:color w:val="000000" w:themeColor="text1"/>
          <w:sz w:val="22"/>
          <w:szCs w:val="22"/>
        </w:rPr>
        <w:t>korekcyjno</w:t>
      </w:r>
      <w:proofErr w:type="spellEnd"/>
      <w:r w:rsidRPr="005A54E7">
        <w:rPr>
          <w:rFonts w:ascii="Bookman Old Style" w:hAnsi="Bookman Old Style"/>
          <w:color w:val="000000" w:themeColor="text1"/>
          <w:sz w:val="22"/>
          <w:szCs w:val="22"/>
        </w:rPr>
        <w:t xml:space="preserve"> – kompensacyjnych dla dzieci przedszkolnych” Centrum Metodyczne Pomocy Psychologiczno – Pedagogicznej Warszawa 2002.</w:t>
      </w:r>
    </w:p>
    <w:sectPr w:rsidR="00C01CC1" w:rsidRPr="005A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15"/>
    <w:rsid w:val="003F2F15"/>
    <w:rsid w:val="006A52B7"/>
    <w:rsid w:val="00C0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5094-B74A-4834-8B02-54CDCED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C1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C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CC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C0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2021-02-04T19:26:00Z</dcterms:created>
  <dcterms:modified xsi:type="dcterms:W3CDTF">2021-02-04T19:26:00Z</dcterms:modified>
</cp:coreProperties>
</file>